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5A" w:rsidRPr="00FA695A" w:rsidRDefault="006E0EDB" w:rsidP="00FA695A">
      <w:pPr>
        <w:jc w:val="center"/>
        <w:rPr>
          <w:rFonts w:ascii="Times New Roman" w:hAnsi="Times New Roman" w:cs="Times New Roman"/>
          <w:b/>
          <w:sz w:val="48"/>
          <w:szCs w:val="48"/>
        </w:rPr>
      </w:pPr>
      <w:r w:rsidRPr="00FA695A">
        <w:rPr>
          <w:rFonts w:ascii="Times New Roman" w:hAnsi="Times New Roman" w:cs="Times New Roman"/>
          <w:b/>
          <w:sz w:val="48"/>
          <w:szCs w:val="48"/>
        </w:rPr>
        <w:t xml:space="preserve">Definition of a Well Child </w:t>
      </w:r>
      <w:r w:rsidR="00FA695A" w:rsidRPr="00FA695A">
        <w:rPr>
          <w:rFonts w:ascii="Times New Roman" w:hAnsi="Times New Roman" w:cs="Times New Roman"/>
          <w:b/>
          <w:sz w:val="48"/>
          <w:szCs w:val="48"/>
        </w:rPr>
        <w:t>Exam</w:t>
      </w:r>
    </w:p>
    <w:p w:rsidR="00CB6F9B" w:rsidRPr="00FA695A" w:rsidRDefault="006E0EDB" w:rsidP="00FA695A">
      <w:pPr>
        <w:jc w:val="center"/>
        <w:rPr>
          <w:rFonts w:ascii="Times New Roman" w:hAnsi="Times New Roman" w:cs="Times New Roman"/>
          <w:sz w:val="4"/>
          <w:szCs w:val="4"/>
        </w:rPr>
      </w:pPr>
      <w:r w:rsidRPr="00FA695A">
        <w:rPr>
          <w:rFonts w:ascii="Times New Roman" w:hAnsi="Times New Roman" w:cs="Times New Roman"/>
          <w:sz w:val="36"/>
          <w:szCs w:val="36"/>
        </w:rPr>
        <w:t xml:space="preserve">The focus of a </w:t>
      </w:r>
      <w:r w:rsidR="00FA695A">
        <w:rPr>
          <w:rFonts w:ascii="Times New Roman" w:hAnsi="Times New Roman" w:cs="Times New Roman"/>
          <w:sz w:val="36"/>
          <w:szCs w:val="36"/>
        </w:rPr>
        <w:t>Well Child</w:t>
      </w:r>
      <w:r w:rsidRPr="00FA695A">
        <w:rPr>
          <w:rFonts w:ascii="Times New Roman" w:hAnsi="Times New Roman" w:cs="Times New Roman"/>
          <w:sz w:val="36"/>
          <w:szCs w:val="36"/>
        </w:rPr>
        <w:t xml:space="preserve"> </w:t>
      </w:r>
      <w:r w:rsidR="00FA695A">
        <w:rPr>
          <w:rFonts w:ascii="Times New Roman" w:hAnsi="Times New Roman" w:cs="Times New Roman"/>
          <w:sz w:val="36"/>
          <w:szCs w:val="36"/>
        </w:rPr>
        <w:t>exam</w:t>
      </w:r>
      <w:r w:rsidRPr="00FA695A">
        <w:rPr>
          <w:rFonts w:ascii="Times New Roman" w:hAnsi="Times New Roman" w:cs="Times New Roman"/>
          <w:sz w:val="36"/>
          <w:szCs w:val="36"/>
        </w:rPr>
        <w:t xml:space="preserve"> is preventive care. If test or services beyond the scope of a </w:t>
      </w:r>
      <w:r w:rsidR="00FA695A">
        <w:rPr>
          <w:rFonts w:ascii="Times New Roman" w:hAnsi="Times New Roman" w:cs="Times New Roman"/>
          <w:sz w:val="36"/>
          <w:szCs w:val="36"/>
        </w:rPr>
        <w:t>Well Child</w:t>
      </w:r>
      <w:r w:rsidR="00FA695A" w:rsidRPr="00FA695A">
        <w:rPr>
          <w:rFonts w:ascii="Times New Roman" w:hAnsi="Times New Roman" w:cs="Times New Roman"/>
          <w:sz w:val="36"/>
          <w:szCs w:val="36"/>
        </w:rPr>
        <w:t xml:space="preserve"> </w:t>
      </w:r>
      <w:r w:rsidR="00FA695A">
        <w:rPr>
          <w:rFonts w:ascii="Times New Roman" w:hAnsi="Times New Roman" w:cs="Times New Roman"/>
          <w:sz w:val="36"/>
          <w:szCs w:val="36"/>
        </w:rPr>
        <w:t>exam</w:t>
      </w:r>
      <w:r w:rsidR="00CB6F9B" w:rsidRPr="00FA695A">
        <w:rPr>
          <w:rFonts w:ascii="Times New Roman" w:hAnsi="Times New Roman" w:cs="Times New Roman"/>
          <w:sz w:val="36"/>
          <w:szCs w:val="36"/>
        </w:rPr>
        <w:t xml:space="preserve"> are provided, then additional charges may be incurred of those services. The choice to address both well care and medical issues is offered for convenience of avoiding two visits, but you owe a cost share/ copay for this additional service. Although our office will assist you with your insurance processing, it is the patient/ guarantors responsibility to understand their insurance benefits.</w:t>
      </w:r>
    </w:p>
    <w:p w:rsidR="00CB6F9B" w:rsidRPr="00FA695A" w:rsidRDefault="00CB6F9B" w:rsidP="00CB6F9B">
      <w:pPr>
        <w:spacing w:after="0"/>
        <w:jc w:val="center"/>
        <w:rPr>
          <w:rFonts w:ascii="Times New Roman" w:hAnsi="Times New Roman" w:cs="Times New Roman"/>
          <w:b/>
          <w:sz w:val="48"/>
          <w:szCs w:val="48"/>
        </w:rPr>
      </w:pPr>
      <w:r w:rsidRPr="00FA695A">
        <w:rPr>
          <w:rFonts w:ascii="Times New Roman" w:hAnsi="Times New Roman" w:cs="Times New Roman"/>
          <w:b/>
          <w:sz w:val="48"/>
          <w:szCs w:val="48"/>
        </w:rPr>
        <w:t xml:space="preserve">What is </w:t>
      </w:r>
      <w:r w:rsidR="00FA695A" w:rsidRPr="00FA695A">
        <w:rPr>
          <w:rFonts w:ascii="Times New Roman" w:hAnsi="Times New Roman" w:cs="Times New Roman"/>
          <w:b/>
          <w:sz w:val="48"/>
          <w:szCs w:val="48"/>
        </w:rPr>
        <w:t xml:space="preserve">part of a </w:t>
      </w:r>
      <w:r w:rsidRPr="00FA695A">
        <w:rPr>
          <w:rFonts w:ascii="Times New Roman" w:hAnsi="Times New Roman" w:cs="Times New Roman"/>
          <w:b/>
          <w:sz w:val="48"/>
          <w:szCs w:val="48"/>
        </w:rPr>
        <w:t xml:space="preserve">Well Child </w:t>
      </w:r>
      <w:r w:rsidR="00FA695A" w:rsidRPr="00FA695A">
        <w:rPr>
          <w:rFonts w:ascii="Times New Roman" w:hAnsi="Times New Roman" w:cs="Times New Roman"/>
          <w:b/>
          <w:sz w:val="48"/>
          <w:szCs w:val="48"/>
        </w:rPr>
        <w:t>Exam</w:t>
      </w:r>
      <w:r w:rsidRPr="00FA695A">
        <w:rPr>
          <w:rFonts w:ascii="Times New Roman" w:hAnsi="Times New Roman" w:cs="Times New Roman"/>
          <w:b/>
          <w:sz w:val="48"/>
          <w:szCs w:val="48"/>
        </w:rPr>
        <w:t>?</w:t>
      </w:r>
    </w:p>
    <w:tbl>
      <w:tblPr>
        <w:tblStyle w:val="TableGrid"/>
        <w:tblW w:w="0" w:type="auto"/>
        <w:tblLook w:val="04A0" w:firstRow="1" w:lastRow="0" w:firstColumn="1" w:lastColumn="0" w:noHBand="0" w:noVBand="1"/>
      </w:tblPr>
      <w:tblGrid>
        <w:gridCol w:w="6588"/>
        <w:gridCol w:w="6588"/>
      </w:tblGrid>
      <w:tr w:rsidR="00CB6F9B" w:rsidRPr="00FA695A" w:rsidTr="00CB6F9B">
        <w:tc>
          <w:tcPr>
            <w:tcW w:w="6588" w:type="dxa"/>
          </w:tcPr>
          <w:p w:rsidR="00CB6F9B" w:rsidRPr="00FA695A" w:rsidRDefault="00CB6F9B" w:rsidP="00CB6F9B">
            <w:pPr>
              <w:jc w:val="center"/>
              <w:rPr>
                <w:rFonts w:ascii="Times New Roman" w:hAnsi="Times New Roman" w:cs="Times New Roman"/>
                <w:b/>
                <w:sz w:val="36"/>
                <w:szCs w:val="36"/>
              </w:rPr>
            </w:pPr>
            <w:r w:rsidRPr="00FA695A">
              <w:rPr>
                <w:rFonts w:ascii="Times New Roman" w:hAnsi="Times New Roman" w:cs="Times New Roman"/>
                <w:b/>
                <w:sz w:val="36"/>
                <w:szCs w:val="36"/>
              </w:rPr>
              <w:t>YES</w:t>
            </w:r>
          </w:p>
        </w:tc>
        <w:tc>
          <w:tcPr>
            <w:tcW w:w="6588" w:type="dxa"/>
          </w:tcPr>
          <w:p w:rsidR="00CB6F9B" w:rsidRPr="00FA695A" w:rsidRDefault="00CB6F9B" w:rsidP="00CB6F9B">
            <w:pPr>
              <w:jc w:val="center"/>
              <w:rPr>
                <w:rFonts w:ascii="Times New Roman" w:hAnsi="Times New Roman" w:cs="Times New Roman"/>
                <w:b/>
                <w:sz w:val="36"/>
                <w:szCs w:val="36"/>
              </w:rPr>
            </w:pPr>
            <w:r w:rsidRPr="00FA695A">
              <w:rPr>
                <w:rFonts w:ascii="Times New Roman" w:hAnsi="Times New Roman" w:cs="Times New Roman"/>
                <w:b/>
                <w:sz w:val="36"/>
                <w:szCs w:val="36"/>
              </w:rPr>
              <w:t>NO</w:t>
            </w:r>
          </w:p>
        </w:tc>
      </w:tr>
      <w:tr w:rsidR="00CB6F9B" w:rsidRPr="00FA695A" w:rsidTr="00CB6F9B">
        <w:tc>
          <w:tcPr>
            <w:tcW w:w="6588" w:type="dxa"/>
          </w:tcPr>
          <w:p w:rsidR="00CB6F9B" w:rsidRPr="00FA695A" w:rsidRDefault="00CB6F9B" w:rsidP="00CB6F9B">
            <w:pPr>
              <w:rPr>
                <w:rFonts w:ascii="Times New Roman" w:hAnsi="Times New Roman" w:cs="Times New Roman"/>
                <w:sz w:val="32"/>
                <w:szCs w:val="32"/>
              </w:rPr>
            </w:pPr>
            <w:r w:rsidRPr="00FA695A">
              <w:rPr>
                <w:rFonts w:ascii="Times New Roman" w:hAnsi="Times New Roman" w:cs="Times New Roman"/>
                <w:sz w:val="32"/>
                <w:szCs w:val="32"/>
              </w:rPr>
              <w:t>Review of current health and medical history</w:t>
            </w:r>
          </w:p>
        </w:tc>
        <w:tc>
          <w:tcPr>
            <w:tcW w:w="6588" w:type="dxa"/>
          </w:tcPr>
          <w:p w:rsidR="00CB6F9B" w:rsidRPr="00FA695A" w:rsidRDefault="00CB6F9B" w:rsidP="00CB6F9B">
            <w:pPr>
              <w:rPr>
                <w:rFonts w:ascii="Times New Roman" w:hAnsi="Times New Roman" w:cs="Times New Roman"/>
                <w:sz w:val="32"/>
                <w:szCs w:val="32"/>
              </w:rPr>
            </w:pPr>
            <w:r w:rsidRPr="00FA695A">
              <w:rPr>
                <w:rFonts w:ascii="Times New Roman" w:hAnsi="Times New Roman" w:cs="Times New Roman"/>
                <w:sz w:val="32"/>
                <w:szCs w:val="32"/>
              </w:rPr>
              <w:t>Treatment or consultation for a medical condition</w:t>
            </w:r>
          </w:p>
        </w:tc>
      </w:tr>
      <w:tr w:rsidR="00CB6F9B" w:rsidRPr="00FA695A" w:rsidTr="00FA695A">
        <w:tc>
          <w:tcPr>
            <w:tcW w:w="6588" w:type="dxa"/>
          </w:tcPr>
          <w:p w:rsidR="00CB6F9B" w:rsidRPr="00FA695A" w:rsidRDefault="00CB6F9B" w:rsidP="00CB6F9B">
            <w:pPr>
              <w:rPr>
                <w:rFonts w:ascii="Times New Roman" w:hAnsi="Times New Roman" w:cs="Times New Roman"/>
                <w:sz w:val="32"/>
                <w:szCs w:val="32"/>
              </w:rPr>
            </w:pPr>
            <w:r w:rsidRPr="00FA695A">
              <w:rPr>
                <w:rFonts w:ascii="Times New Roman" w:hAnsi="Times New Roman" w:cs="Times New Roman"/>
                <w:sz w:val="32"/>
                <w:szCs w:val="32"/>
              </w:rPr>
              <w:t>Counseling about ways to improve your child’s health</w:t>
            </w:r>
          </w:p>
        </w:tc>
        <w:tc>
          <w:tcPr>
            <w:tcW w:w="6588" w:type="dxa"/>
            <w:tcBorders>
              <w:bottom w:val="single" w:sz="4" w:space="0" w:color="auto"/>
            </w:tcBorders>
          </w:tcPr>
          <w:p w:rsidR="00CB6F9B" w:rsidRPr="00FA695A" w:rsidRDefault="00CB6F9B" w:rsidP="003E34E0">
            <w:pPr>
              <w:rPr>
                <w:rFonts w:ascii="Times New Roman" w:hAnsi="Times New Roman" w:cs="Times New Roman"/>
                <w:sz w:val="32"/>
                <w:szCs w:val="32"/>
              </w:rPr>
            </w:pPr>
            <w:r w:rsidRPr="00FA695A">
              <w:rPr>
                <w:rFonts w:ascii="Times New Roman" w:hAnsi="Times New Roman" w:cs="Times New Roman"/>
                <w:sz w:val="32"/>
                <w:szCs w:val="32"/>
              </w:rPr>
              <w:t xml:space="preserve">Any service not considered part of a </w:t>
            </w:r>
            <w:proofErr w:type="spellStart"/>
            <w:r w:rsidRPr="00FA695A">
              <w:rPr>
                <w:rFonts w:ascii="Times New Roman" w:hAnsi="Times New Roman" w:cs="Times New Roman"/>
                <w:sz w:val="32"/>
                <w:szCs w:val="32"/>
              </w:rPr>
              <w:t>well</w:t>
            </w:r>
            <w:r w:rsidR="003E34E0">
              <w:rPr>
                <w:rFonts w:ascii="Times New Roman" w:hAnsi="Times New Roman" w:cs="Times New Roman"/>
                <w:sz w:val="32"/>
                <w:szCs w:val="32"/>
              </w:rPr>
              <w:t xml:space="preserve"> </w:t>
            </w:r>
            <w:r w:rsidRPr="00FA695A">
              <w:rPr>
                <w:rFonts w:ascii="Times New Roman" w:hAnsi="Times New Roman" w:cs="Times New Roman"/>
                <w:sz w:val="32"/>
                <w:szCs w:val="32"/>
              </w:rPr>
              <w:t>child</w:t>
            </w:r>
            <w:proofErr w:type="spellEnd"/>
            <w:r w:rsidRPr="00FA695A">
              <w:rPr>
                <w:rFonts w:ascii="Times New Roman" w:hAnsi="Times New Roman" w:cs="Times New Roman"/>
                <w:sz w:val="32"/>
                <w:szCs w:val="32"/>
              </w:rPr>
              <w:t xml:space="preserve"> visit</w:t>
            </w:r>
          </w:p>
        </w:tc>
      </w:tr>
      <w:tr w:rsidR="00CB6F9B" w:rsidRPr="00FA695A" w:rsidTr="00FA695A">
        <w:tc>
          <w:tcPr>
            <w:tcW w:w="6588" w:type="dxa"/>
          </w:tcPr>
          <w:p w:rsidR="00CB6F9B" w:rsidRPr="00FA695A" w:rsidRDefault="00CB6F9B" w:rsidP="00CB6F9B">
            <w:pPr>
              <w:rPr>
                <w:rFonts w:ascii="Times New Roman" w:hAnsi="Times New Roman" w:cs="Times New Roman"/>
                <w:sz w:val="32"/>
                <w:szCs w:val="32"/>
              </w:rPr>
            </w:pPr>
            <w:r w:rsidRPr="00FA695A">
              <w:rPr>
                <w:rFonts w:ascii="Times New Roman" w:hAnsi="Times New Roman" w:cs="Times New Roman"/>
                <w:sz w:val="32"/>
                <w:szCs w:val="32"/>
              </w:rPr>
              <w:t>A physician exam tailored to your care needs</w:t>
            </w:r>
          </w:p>
        </w:tc>
        <w:tc>
          <w:tcPr>
            <w:tcW w:w="6588" w:type="dxa"/>
            <w:shd w:val="pct20" w:color="auto" w:fill="auto"/>
          </w:tcPr>
          <w:p w:rsidR="00CB6F9B" w:rsidRPr="00FA695A" w:rsidRDefault="00CB6F9B" w:rsidP="00CB6F9B">
            <w:pPr>
              <w:jc w:val="center"/>
              <w:rPr>
                <w:rFonts w:ascii="Times New Roman" w:hAnsi="Times New Roman" w:cs="Times New Roman"/>
                <w:sz w:val="44"/>
                <w:szCs w:val="44"/>
                <w:highlight w:val="darkGray"/>
              </w:rPr>
            </w:pPr>
            <w:bookmarkStart w:id="0" w:name="_GoBack"/>
            <w:bookmarkEnd w:id="0"/>
          </w:p>
        </w:tc>
      </w:tr>
      <w:tr w:rsidR="00CB6F9B" w:rsidRPr="00FA695A" w:rsidTr="00FA695A">
        <w:tc>
          <w:tcPr>
            <w:tcW w:w="6588" w:type="dxa"/>
          </w:tcPr>
          <w:p w:rsidR="00CB6F9B" w:rsidRPr="00FA695A" w:rsidRDefault="00FA695A" w:rsidP="00CB6F9B">
            <w:pPr>
              <w:jc w:val="center"/>
              <w:rPr>
                <w:rFonts w:ascii="Times New Roman" w:hAnsi="Times New Roman" w:cs="Times New Roman"/>
                <w:sz w:val="32"/>
                <w:szCs w:val="32"/>
              </w:rPr>
            </w:pPr>
            <w:r w:rsidRPr="00FA695A">
              <w:rPr>
                <w:rFonts w:ascii="Times New Roman" w:hAnsi="Times New Roman" w:cs="Times New Roman"/>
                <w:sz w:val="32"/>
                <w:szCs w:val="32"/>
              </w:rPr>
              <w:t>Immunizations and screening tests, if needed. (Some insurance may not cover these services.)</w:t>
            </w:r>
          </w:p>
        </w:tc>
        <w:tc>
          <w:tcPr>
            <w:tcW w:w="6588" w:type="dxa"/>
            <w:shd w:val="pct20" w:color="auto" w:fill="auto"/>
          </w:tcPr>
          <w:p w:rsidR="00CB6F9B" w:rsidRPr="00FA695A" w:rsidRDefault="00CB6F9B" w:rsidP="00CB6F9B">
            <w:pPr>
              <w:jc w:val="center"/>
              <w:rPr>
                <w:rFonts w:ascii="Times New Roman" w:hAnsi="Times New Roman" w:cs="Times New Roman"/>
                <w:sz w:val="44"/>
                <w:szCs w:val="44"/>
                <w:highlight w:val="darkGray"/>
              </w:rPr>
            </w:pPr>
          </w:p>
        </w:tc>
      </w:tr>
      <w:tr w:rsidR="00FA695A" w:rsidRPr="00FA695A" w:rsidTr="00FA695A">
        <w:tc>
          <w:tcPr>
            <w:tcW w:w="6588" w:type="dxa"/>
          </w:tcPr>
          <w:p w:rsidR="00FA695A" w:rsidRPr="00FA695A" w:rsidRDefault="00FA695A" w:rsidP="00CB6F9B">
            <w:pPr>
              <w:jc w:val="center"/>
              <w:rPr>
                <w:rFonts w:ascii="Times New Roman" w:hAnsi="Times New Roman" w:cs="Times New Roman"/>
                <w:sz w:val="32"/>
                <w:szCs w:val="32"/>
              </w:rPr>
            </w:pPr>
            <w:r w:rsidRPr="00FA695A">
              <w:rPr>
                <w:rFonts w:ascii="Times New Roman" w:hAnsi="Times New Roman" w:cs="Times New Roman"/>
                <w:sz w:val="32"/>
                <w:szCs w:val="32"/>
              </w:rPr>
              <w:t>Developmental Milestones and Anticipatory Guidance</w:t>
            </w:r>
          </w:p>
        </w:tc>
        <w:tc>
          <w:tcPr>
            <w:tcW w:w="6588" w:type="dxa"/>
            <w:shd w:val="pct20" w:color="auto" w:fill="auto"/>
          </w:tcPr>
          <w:p w:rsidR="00FA695A" w:rsidRPr="00FA695A" w:rsidRDefault="00FA695A" w:rsidP="00CB6F9B">
            <w:pPr>
              <w:jc w:val="center"/>
              <w:rPr>
                <w:rFonts w:ascii="Times New Roman" w:hAnsi="Times New Roman" w:cs="Times New Roman"/>
                <w:sz w:val="44"/>
                <w:szCs w:val="44"/>
                <w:highlight w:val="darkGray"/>
              </w:rPr>
            </w:pPr>
          </w:p>
        </w:tc>
      </w:tr>
    </w:tbl>
    <w:p w:rsidR="00CC0F04" w:rsidRDefault="00CC0F04" w:rsidP="00CB6F9B">
      <w:pPr>
        <w:jc w:val="center"/>
      </w:pPr>
    </w:p>
    <w:sectPr w:rsidR="00CC0F04" w:rsidSect="00FA695A">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5D8" w:rsidRDefault="004205D8" w:rsidP="00FA695A">
      <w:pPr>
        <w:spacing w:after="0" w:line="240" w:lineRule="auto"/>
      </w:pPr>
      <w:r>
        <w:separator/>
      </w:r>
    </w:p>
  </w:endnote>
  <w:endnote w:type="continuationSeparator" w:id="0">
    <w:p w:rsidR="004205D8" w:rsidRDefault="004205D8" w:rsidP="00FA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5A" w:rsidRDefault="00FA695A" w:rsidP="00FA695A">
    <w:pPr>
      <w:pStyle w:val="Footer"/>
      <w:jc w:val="center"/>
    </w:pPr>
    <w:r>
      <w:rPr>
        <w:noProof/>
      </w:rPr>
      <w:drawing>
        <wp:inline distT="0" distB="0" distL="0" distR="0" wp14:anchorId="60EDB536" wp14:editId="1A4DC677">
          <wp:extent cx="4696855" cy="82867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0364" cy="831058"/>
                  </a:xfrm>
                  <a:prstGeom prst="rect">
                    <a:avLst/>
                  </a:prstGeom>
                  <a:noFill/>
                  <a:ln>
                    <a:noFill/>
                  </a:ln>
                </pic:spPr>
              </pic:pic>
            </a:graphicData>
          </a:graphic>
        </wp:inline>
      </w:drawing>
    </w:r>
  </w:p>
  <w:p w:rsidR="00FA695A" w:rsidRDefault="00FA6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5D8" w:rsidRDefault="004205D8" w:rsidP="00FA695A">
      <w:pPr>
        <w:spacing w:after="0" w:line="240" w:lineRule="auto"/>
      </w:pPr>
      <w:r>
        <w:separator/>
      </w:r>
    </w:p>
  </w:footnote>
  <w:footnote w:type="continuationSeparator" w:id="0">
    <w:p w:rsidR="004205D8" w:rsidRDefault="004205D8" w:rsidP="00FA6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F04"/>
    <w:rsid w:val="003E34E0"/>
    <w:rsid w:val="004205D8"/>
    <w:rsid w:val="006E0EDB"/>
    <w:rsid w:val="008C6924"/>
    <w:rsid w:val="00950430"/>
    <w:rsid w:val="009A4C79"/>
    <w:rsid w:val="00C71C19"/>
    <w:rsid w:val="00CB6F9B"/>
    <w:rsid w:val="00CC0F04"/>
    <w:rsid w:val="00CE2648"/>
    <w:rsid w:val="00FA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F04"/>
    <w:rPr>
      <w:rFonts w:ascii="Tahoma" w:hAnsi="Tahoma" w:cs="Tahoma"/>
      <w:sz w:val="16"/>
      <w:szCs w:val="16"/>
    </w:rPr>
  </w:style>
  <w:style w:type="table" w:styleId="TableGrid">
    <w:name w:val="Table Grid"/>
    <w:basedOn w:val="TableNormal"/>
    <w:uiPriority w:val="59"/>
    <w:rsid w:val="00CB6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6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95A"/>
  </w:style>
  <w:style w:type="paragraph" w:styleId="Footer">
    <w:name w:val="footer"/>
    <w:basedOn w:val="Normal"/>
    <w:link w:val="FooterChar"/>
    <w:uiPriority w:val="99"/>
    <w:unhideWhenUsed/>
    <w:rsid w:val="00FA6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9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F04"/>
    <w:rPr>
      <w:rFonts w:ascii="Tahoma" w:hAnsi="Tahoma" w:cs="Tahoma"/>
      <w:sz w:val="16"/>
      <w:szCs w:val="16"/>
    </w:rPr>
  </w:style>
  <w:style w:type="table" w:styleId="TableGrid">
    <w:name w:val="Table Grid"/>
    <w:basedOn w:val="TableNormal"/>
    <w:uiPriority w:val="59"/>
    <w:rsid w:val="00CB6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6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95A"/>
  </w:style>
  <w:style w:type="paragraph" w:styleId="Footer">
    <w:name w:val="footer"/>
    <w:basedOn w:val="Normal"/>
    <w:link w:val="FooterChar"/>
    <w:uiPriority w:val="99"/>
    <w:unhideWhenUsed/>
    <w:rsid w:val="00FA6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Nicholls, Joseph J</dc:creator>
  <cp:lastModifiedBy>Nicholls, Joseph J</cp:lastModifiedBy>
  <cp:revision>2</cp:revision>
  <cp:lastPrinted>2017-03-07T17:57:00Z</cp:lastPrinted>
  <dcterms:created xsi:type="dcterms:W3CDTF">2017-03-07T16:58:00Z</dcterms:created>
  <dcterms:modified xsi:type="dcterms:W3CDTF">2017-04-24T18:34:00Z</dcterms:modified>
</cp:coreProperties>
</file>